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DBA Disclosure</w:t>
      </w:r>
    </w:p>
    <w:p>
      <w:r>
        <w:rPr>
          <w:i/>
          <w:iCs/>
          <w:color w:val="666666"/>
        </w:rPr>
        <w:t xml:space="preserve">Mosta · Last updated 2026-02-25</w:t>
      </w:r>
    </w:p>
    <w:p/>
    <w:p>
      <w:pPr>
        <w:spacing w:after="160"/>
      </w:pPr>
      <w:r>
        <w:t xml:space="preserve">Effective Date: February 25, 2026</w:t>
      </w:r>
    </w:p>
    <w:p>
      <w:pPr>
        <w:pStyle w:val="Heading2"/>
        <w:spacing w:after="120" w:before="240"/>
      </w:pPr>
      <w:r>
        <w:t xml:space="preserve">1. Entity Identification</w:t>
      </w:r>
    </w:p>
    <w:p>
      <w:pPr>
        <w:spacing w:after="160"/>
      </w:pPr>
      <w:r>
        <w:t xml:space="preserve">This Master DBA Disclosure (“Disclosure”) is issued by SquareFi Inc., a company incorporated in the State of Delaware, United States, doing business as “Mosta” (hereinafter referred to as “SquareFi,” “Mosta,” “we,” “our,” or “us”).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Legal Entity Name</w:t>
            </w:r>
          </w:p>
        </w:tc>
        <w:tc>
          <w:p>
            <w:r>
              <w:t xml:space="preserve">SquareFi Inc.</w:t>
            </w:r>
          </w:p>
        </w:tc>
      </w:tr>
      <w:tr>
        <w:tc>
          <w:p>
            <w:r>
              <w:t xml:space="preserve">DBA (Trade Name)</w:t>
            </w:r>
          </w:p>
        </w:tc>
        <w:tc>
          <w:p>
            <w:r>
              <w:t xml:space="preserve">Mosta</w:t>
            </w:r>
          </w:p>
        </w:tc>
      </w:tr>
      <w:tr>
        <w:tc>
          <w:p>
            <w:r>
              <w:t xml:space="preserve">State of Incorporation</w:t>
            </w:r>
          </w:p>
        </w:tc>
        <w:tc>
          <w:p>
            <w:r>
              <w:t xml:space="preserve">Delaware, United States</w:t>
            </w:r>
          </w:p>
        </w:tc>
      </w:tr>
      <w:tr>
        <w:tc>
          <w:p>
            <w:r>
              <w:t xml:space="preserve">Registered Address</w:t>
            </w:r>
          </w:p>
        </w:tc>
        <w:tc>
          <w:p>
            <w:r>
              <w:t xml:space="preserve">2093 Philadelphia Pike, Suite 2383, Claymont, DE 19703, Delaware</w:t>
            </w:r>
          </w:p>
        </w:tc>
      </w:tr>
    </w:tbl>
    <w:p/>
    <w:p>
      <w:pPr>
        <w:pStyle w:val="Heading2"/>
        <w:spacing w:after="120" w:before="240"/>
      </w:pPr>
      <w:r>
        <w:t xml:space="preserve">2. Purpose and Scope</w:t>
      </w:r>
    </w:p>
    <w:p>
      <w:pPr>
        <w:spacing w:after="160"/>
      </w:pPr>
      <w:r>
        <w:t xml:space="preserve">This Disclosure establishes the relationship between the legal entity name “SquareFi Inc.” and the trade name “Mosta” for the purpose of all legal documents, terms, policies, and agreements governing the Mosta platform and related services.</w:t>
      </w:r>
    </w:p>
    <w:p>
      <w:pPr>
        <w:spacing w:after="160"/>
      </w:pPr>
      <w:r>
        <w:t xml:space="preserve">This Disclosure applies to, and should be read in conjunction with, all documents listed in Schedule A of this Disclosure. Any reference to “SquareFi,” “SquareFi Inc.,” or “Mosta” in those documents refers to the same legal entity: SquareFi Inc. operating under the trade name Mosta.</w:t>
      </w:r>
    </w:p>
    <w:p>
      <w:pPr>
        <w:pStyle w:val="Heading2"/>
        <w:spacing w:after="120" w:before="240"/>
      </w:pPr>
      <w:r>
        <w:t xml:space="preserve">3. Key Definitions</w:t>
      </w:r>
    </w:p>
    <w:p>
      <w:pPr>
        <w:spacing w:after="160"/>
      </w:pPr>
      <w:r>
        <w:t xml:space="preserve">For the purposes of the Covered Documents and this Disclosure, the following terms shall have the meanings set forth below:</w:t>
      </w:r>
    </w:p>
    <w:p>
      <w:pPr>
        <w:spacing w:after="160"/>
      </w:pPr>
      <w:r>
        <w:t xml:space="preserve">“SquareFi” or “SquareFi Inc.” means SquareFi Inc., the legal entity incorporated in Delaware, which develops, operates, and licenses the White Label banking technology platform.</w:t>
      </w:r>
    </w:p>
    <w:p>
      <w:pPr>
        <w:spacing w:after="160"/>
      </w:pPr>
      <w:r>
        <w:t xml:space="preserve">“Mosta” means the consumer-facing brand and trade name under which SquareFi Inc. provides crypto-friendly banking services for businesses and high-net-worth individuals, including fiat and cryptocurrency account management, international payments, and corporate card programs.</w:t>
      </w:r>
    </w:p>
    <w:p>
      <w:pPr>
        <w:spacing w:after="160"/>
      </w:pPr>
      <w:r>
        <w:t xml:space="preserve">“SquareFi DBA Mosta” or “SquareFi Inc. (DBA Mosta)” means SquareFi Inc. acting under the trade name Mosta, and serves as the formal designation of the operating entity across all Covered Documents.</w:t>
      </w:r>
    </w:p>
    <w:p>
      <w:pPr>
        <w:spacing w:after="160"/>
      </w:pPr>
      <w:r>
        <w:t xml:space="preserve">“Platform” means the Mosta platform accessible at mosta.io, including all associated web applications, mobile applications, APIs, and services.</w:t>
      </w:r>
    </w:p>
    <w:p>
      <w:pPr>
        <w:spacing w:after="160"/>
      </w:pPr>
      <w:r>
        <w:t xml:space="preserve">“Covered Documents” means all documents listed in Schedule A of this Disclosure, as may be amended from time to time.</w:t>
      </w:r>
    </w:p>
    <w:p>
      <w:pPr>
        <w:pStyle w:val="Heading2"/>
        <w:spacing w:after="120" w:before="240"/>
      </w:pPr>
      <w:r>
        <w:t xml:space="preserve">4. Contact Information</w:t>
      </w:r>
    </w:p>
    <w:p>
      <w:pPr>
        <w:spacing w:after="160"/>
      </w:pPr>
      <w:r>
        <w:t xml:space="preserve">All official contact channels for the Mosta platform are listed below. These contacts are valid for all Covered Documents unless otherwise specified within a particular document.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Support</w:t>
            </w:r>
          </w:p>
        </w:tc>
        <w:tc>
          <w:p>
            <w:r>
              <w:t xml:space="preserve">support@mosta.io</w:t>
            </w:r>
          </w:p>
        </w:tc>
      </w:tr>
      <w:tr>
        <w:tc>
          <w:p>
            <w:r>
              <w:t xml:space="preserve">Legal Department</w:t>
            </w:r>
          </w:p>
        </w:tc>
        <w:tc>
          <w:p>
            <w:r>
              <w:t xml:space="preserve">legal@mosta.io</w:t>
            </w:r>
          </w:p>
        </w:tc>
      </w:tr>
      <w:tr>
        <w:tc>
          <w:p>
            <w:r>
              <w:t xml:space="preserve">Phone</w:t>
            </w:r>
          </w:p>
        </w:tc>
        <w:tc>
          <w:p>
            <w:r>
              <w:t xml:space="preserve">+1 (585) 282-6510</w:t>
            </w:r>
          </w:p>
        </w:tc>
      </w:tr>
      <w:tr>
        <w:tc>
          <w:p>
            <w:r>
              <w:t xml:space="preserve">Client-Facing Website</w:t>
            </w:r>
          </w:p>
        </w:tc>
        <w:tc>
          <w:p>
            <w:r>
              <w:t xml:space="preserve">mosta.io</w:t>
            </w:r>
          </w:p>
        </w:tc>
      </w:tr>
      <w:tr>
        <w:tc>
          <w:p>
            <w:r>
              <w:t xml:space="preserve">Corporate Website</w:t>
            </w:r>
          </w:p>
        </w:tc>
        <w:tc>
          <w:p>
            <w:r>
              <w:t xml:space="preserve">squarefi.co</w:t>
            </w:r>
          </w:p>
        </w:tc>
      </w:tr>
      <w:tr>
        <w:tc>
          <w:p>
            <w:r>
              <w:t xml:space="preserve">Mailing Address</w:t>
            </w:r>
          </w:p>
        </w:tc>
        <w:tc>
          <w:p>
            <w:r>
              <w:t xml:space="preserve">SquareFi Inc. (DBA Mosta), 2093 Philadelphia Pike, Suite 2383, Claymont, DE 19703, Delaware</w:t>
            </w:r>
          </w:p>
        </w:tc>
      </w:tr>
    </w:tbl>
    <w:p/>
    <w:p>
      <w:pPr>
        <w:pStyle w:val="Heading2"/>
        <w:spacing w:after="120" w:before="240"/>
      </w:pPr>
      <w:r>
        <w:t xml:space="preserve">5. Domain and Digital Presence</w:t>
      </w:r>
    </w:p>
    <w:p>
      <w:pPr>
        <w:spacing w:after="160"/>
      </w:pPr>
      <w:r>
        <w:t xml:space="preserve">mosta.io is the primary client-facing domain for the Mosta platform and all consumer-facing services. squarefi.co is the corporate domain of SquareFi Inc. and is used for corporate information, partner communications, and technology platform documentation. Both domains are operated by SquareFi Inc. and are legitimate points of contact.</w:t>
      </w:r>
    </w:p>
    <w:p>
      <w:pPr>
        <w:spacing w:after="160"/>
      </w:pPr>
      <w:r>
        <w:t xml:space="preserve">Where a Covered Document references squarefi.co in a consumer-facing context (e.g., privacy policy links, contact emails), users should refer to the equivalent resource at mosta.io unless otherwise specified in this Disclosure.</w:t>
      </w:r>
    </w:p>
    <w:p>
      <w:pPr>
        <w:pStyle w:val="Heading2"/>
        <w:spacing w:after="120" w:before="240"/>
      </w:pPr>
      <w:r>
        <w:t xml:space="preserve">6. Interpretation Rules</w:t>
      </w:r>
    </w:p>
    <w:p>
      <w:pPr>
        <w:spacing w:after="160"/>
      </w:pPr>
      <w:r>
        <w:t xml:space="preserve">In the event of any ambiguity or inconsistency between the entity names used in any Covered Document, the following interpretation rules shall apply:</w:t>
      </w:r>
    </w:p>
    <w:p>
      <w:pPr>
        <w:spacing w:after="160"/>
      </w:pPr>
      <w:r>
        <w:t xml:space="preserve">Any reference to “SquareFi,” “SquareFi Inc.,” “Mosta,” or “SquareFi Inc. (DBA Mosta)” in the Covered Documents refers to the same legal entity: SquareFi Inc.</w:t>
      </w:r>
    </w:p>
    <w:p>
      <w:pPr>
        <w:spacing w:after="160"/>
      </w:pPr>
      <w:r>
        <w:t xml:space="preserve">References to “squarefi.co” in consumer-facing contexts should be understood as also applicable to “mosta.io,” which is the primary consumer-facing domain.</w:t>
      </w:r>
    </w:p>
    <w:p>
      <w:pPr>
        <w:spacing w:after="160"/>
      </w:pPr>
      <w:r>
        <w:t xml:space="preserve">Contact information provided in the Covered Documents (emails ending in @squarefi.co or @mosta.io) routes to the same operational teams within SquareFi Inc.</w:t>
      </w:r>
    </w:p>
    <w:p>
      <w:pPr>
        <w:spacing w:after="160"/>
      </w:pPr>
      <w:r>
        <w:t xml:space="preserve">This Disclosure does not alter, amend, or supersede the substantive rights and obligations set forth in any Covered Document. It serves solely to clarify entity identification and branding.</w:t>
      </w:r>
    </w:p>
    <w:p>
      <w:pPr>
        <w:pStyle w:val="Heading2"/>
        <w:spacing w:after="120" w:before="240"/>
      </w:pPr>
      <w:r>
        <w:t xml:space="preserve">7. Amendments</w:t>
      </w:r>
    </w:p>
    <w:p>
      <w:pPr>
        <w:spacing w:after="160"/>
      </w:pPr>
      <w:r>
        <w:t xml:space="preserve">This Disclosure may be updated from time to time. Material changes will be communicated via email or Platform notification. The current version is always available at mosta.io.</w:t>
      </w:r>
    </w:p>
    <w:p>
      <w:pPr>
        <w:pStyle w:val="Heading2"/>
        <w:spacing w:after="120" w:before="240"/>
      </w:pPr>
      <w:r>
        <w:t xml:space="preserve">8. Governing Law</w:t>
      </w:r>
    </w:p>
    <w:p>
      <w:pPr>
        <w:spacing w:after="160"/>
      </w:pPr>
      <w:r>
        <w:t xml:space="preserve">This Disclosure is governed by the laws of the State of Delaware, United States, consistent with the governing law provisions of the Covered Documents.</w:t>
      </w:r>
    </w:p>
    <w:p>
      <w:pPr>
        <w:pStyle w:val="Heading2"/>
        <w:spacing w:after="120" w:before="240"/>
      </w:pPr>
      <w:r>
        <w:t xml:space="preserve">SCHEDULE A — COVERED DOCUMENTS</w:t>
      </w:r>
    </w:p>
    <w:p>
      <w:pPr>
        <w:spacing w:after="160"/>
      </w:pPr>
      <w:r>
        <w:t xml:space="preserve">This Disclosure applies to the following documents, including any future amendments or updates thereto:</w:t>
      </w:r>
    </w:p>
    <w:p>
      <w:pPr>
        <w:spacing w:after="160"/>
      </w:pPr>
      <w:r>
        <w:t xml:space="preserve">Master Documents:</w:t>
      </w:r>
    </w:p>
    <w:p>
      <w:pPr>
        <w:pStyle w:val="ListParagraph"/>
        <w:numPr>
          <w:ilvl w:val="0"/>
          <w:numId w:val="1"/>
        </w:numPr>
        <w:spacing w:after="60"/>
      </w:pPr>
      <w:r>
        <w:t xml:space="preserve">MOSTA TERMS AND CONDITIONS (January 22, 2026, v1.0)</w:t>
      </w:r>
    </w:p>
    <w:p>
      <w:pPr>
        <w:pStyle w:val="ListParagraph"/>
        <w:numPr>
          <w:ilvl w:val="0"/>
          <w:numId w:val="1"/>
        </w:numPr>
        <w:spacing w:after="60"/>
      </w:pPr>
      <w:r>
        <w:t xml:space="preserve">MOSTA PRIVACY POLICY (January 22, 2026, v1.0)</w:t>
      </w:r>
    </w:p>
    <w:p>
      <w:pPr>
        <w:pStyle w:val="ListParagraph"/>
        <w:numPr>
          <w:ilvl w:val="0"/>
          <w:numId w:val="1"/>
        </w:numPr>
        <w:spacing w:after="60"/>
      </w:pPr>
      <w:r>
        <w:t xml:space="preserve">MOSTA PROHIBITED ACTIVITIES POLICY (June 13, 2025, v2.0)</w:t>
      </w:r>
    </w:p>
    <w:p>
      <w:pPr>
        <w:pStyle w:val="ListParagraph"/>
        <w:numPr>
          <w:ilvl w:val="0"/>
          <w:numId w:val="1"/>
        </w:numPr>
        <w:spacing w:after="60"/>
      </w:pPr>
      <w:r>
        <w:t xml:space="preserve">MOSTA FRAUD AND SECURITY POLICY (January 22, 2026, v1.0)</w:t>
      </w:r>
    </w:p>
    <w:p>
      <w:pPr>
        <w:pStyle w:val="ListParagraph"/>
        <w:numPr>
          <w:ilvl w:val="0"/>
          <w:numId w:val="1"/>
        </w:numPr>
        <w:spacing w:after="60"/>
      </w:pPr>
      <w:r>
        <w:t xml:space="preserve">MOSTA CONSUMER PROTECTION POLICY (January 22, 2026, v1.0)</w:t>
      </w:r>
    </w:p>
    <w:p>
      <w:pPr>
        <w:pStyle w:val="ListParagraph"/>
        <w:numPr>
          <w:ilvl w:val="0"/>
          <w:numId w:val="1"/>
        </w:numPr>
        <w:spacing w:after="60"/>
      </w:pPr>
      <w:r>
        <w:t xml:space="preserve">MOSTA COOKIES POLICY (February 22, 2026, v1.0)</w:t>
      </w:r>
    </w:p>
    <w:p>
      <w:pPr>
        <w:spacing w:after="160"/>
      </w:pPr>
      <w:r>
        <w:t xml:space="preserve">Partner Documents:</w:t>
      </w:r>
    </w:p>
    <w:p>
      <w:pPr>
        <w:pStyle w:val="ListParagraph"/>
        <w:numPr>
          <w:ilvl w:val="0"/>
          <w:numId w:val="1"/>
        </w:numPr>
        <w:spacing w:after="60"/>
      </w:pPr>
      <w:r>
        <w:t xml:space="preserve">PARTNER PRIVACY POLICY (L2F)</w:t>
      </w:r>
    </w:p>
    <w:p>
      <w:pPr>
        <w:pStyle w:val="ListParagraph"/>
        <w:numPr>
          <w:ilvl w:val="0"/>
          <w:numId w:val="1"/>
        </w:numPr>
        <w:spacing w:after="60"/>
      </w:pPr>
      <w:r>
        <w:t xml:space="preserve">PARTNER TERMS (L2F)</w:t>
      </w:r>
    </w:p>
    <w:p>
      <w:pPr>
        <w:pStyle w:val="ListParagraph"/>
        <w:numPr>
          <w:ilvl w:val="0"/>
          <w:numId w:val="1"/>
        </w:numPr>
        <w:spacing w:after="60"/>
      </w:pPr>
      <w:r>
        <w:t xml:space="preserve">Account Opening Privacy Notice (US)</w:t>
      </w:r>
    </w:p>
    <w:p>
      <w:pPr>
        <w:pStyle w:val="ListParagraph"/>
        <w:numPr>
          <w:ilvl w:val="0"/>
          <w:numId w:val="1"/>
        </w:numPr>
        <w:spacing w:after="60"/>
      </w:pPr>
      <w:r>
        <w:t xml:space="preserve">E-Sign &amp; Electronic Communications Notice</w:t>
      </w:r>
    </w:p>
    <w:p>
      <w:pPr>
        <w:pStyle w:val="ListParagraph"/>
        <w:numPr>
          <w:ilvl w:val="0"/>
          <w:numId w:val="1"/>
        </w:numPr>
        <w:spacing w:after="60"/>
      </w:pPr>
      <w:r>
        <w:t xml:space="preserve">Authorized Card User Terms</w:t>
      </w:r>
    </w:p>
    <w:p>
      <w:pPr>
        <w:pStyle w:val="ListParagraph"/>
        <w:numPr>
          <w:ilvl w:val="0"/>
          <w:numId w:val="1"/>
        </w:numPr>
        <w:spacing w:after="60"/>
      </w:pPr>
      <w:r>
        <w:t xml:space="preserve">Mosta Business Card Terms (US)</w:t>
      </w:r>
    </w:p>
    <w:p>
      <w:pPr>
        <w:pStyle w:val="ListParagraph"/>
        <w:numPr>
          <w:ilvl w:val="0"/>
          <w:numId w:val="1"/>
        </w:numPr>
        <w:spacing w:after="60"/>
      </w:pPr>
      <w:r>
        <w:t xml:space="preserve">Mosta Card Terms Business (International)</w:t>
      </w:r>
    </w:p>
    <w:p>
      <w:pPr>
        <w:pStyle w:val="ListParagraph"/>
        <w:numPr>
          <w:ilvl w:val="0"/>
          <w:numId w:val="1"/>
        </w:numPr>
        <w:spacing w:after="60"/>
      </w:pPr>
      <w:r>
        <w:t xml:space="preserve">Mosta Consumer Card Terms (International)</w:t>
      </w:r>
    </w:p>
    <w:p>
      <w:pPr>
        <w:pStyle w:val="ListParagraph"/>
        <w:numPr>
          <w:ilvl w:val="0"/>
          <w:numId w:val="1"/>
        </w:numPr>
        <w:spacing w:after="60"/>
      </w:pPr>
      <w:r>
        <w:t xml:space="preserve">Mosta Consumer Card Terms (US)</w:t>
      </w:r>
    </w:p>
    <w:p>
      <w:pPr>
        <w:spacing w:after="160"/>
      </w:pPr>
      <w:r>
        <w:t xml:space="preserve">This list may be updated from time to time as new documents are added to the Mosta platform documentation. Updates to this Schedule do not constitute a material change to the Disclosure.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2026-10-24T15:03:37.715Z</dcterms:created>
  <dcterms:modified xsi:type="dcterms:W3CDTF">2026-10-24T15:03:37.715Z</dcterms:modified>
</cp:coreProperties>
</file>

<file path=docProps/custom.xml><?xml version="1.0" encoding="utf-8"?>
<Properties xmlns="http://schemas.openxmlformats.org/officeDocument/2006/custom-properties" xmlns:vt="http://schemas.openxmlformats.org/officeDocument/2006/docPropsVTypes"/>
</file>